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DC39" w14:textId="77777777" w:rsidR="00BB479A" w:rsidRDefault="00BB479A" w:rsidP="00803D53">
      <w:pPr>
        <w:jc w:val="center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[CARTA MEMBRETADA]</w:t>
      </w:r>
    </w:p>
    <w:p w14:paraId="0D3768E7" w14:textId="77777777" w:rsidR="00AE57DB" w:rsidRPr="00A3503E" w:rsidRDefault="00AE57DB" w:rsidP="0016677C">
      <w:pPr>
        <w:jc w:val="right"/>
        <w:rPr>
          <w:rFonts w:ascii="Tahoma" w:hAnsi="Tahoma" w:cs="Tahoma"/>
          <w:sz w:val="20"/>
          <w:szCs w:val="20"/>
        </w:rPr>
      </w:pPr>
    </w:p>
    <w:p w14:paraId="21C01281" w14:textId="7F278054" w:rsidR="0016677C" w:rsidRPr="00A3503E" w:rsidRDefault="0016677C" w:rsidP="0016677C">
      <w:pPr>
        <w:jc w:val="right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Ciudad de México, a [</w:t>
      </w:r>
      <w:r w:rsidRPr="00A3503E">
        <w:rPr>
          <w:rFonts w:ascii="Tahoma" w:hAnsi="Tahoma" w:cs="Tahoma"/>
          <w:sz w:val="20"/>
          <w:szCs w:val="20"/>
          <w:highlight w:val="yellow"/>
        </w:rPr>
        <w:t>●</w:t>
      </w:r>
      <w:r w:rsidRPr="00A3503E">
        <w:rPr>
          <w:rFonts w:ascii="Tahoma" w:hAnsi="Tahoma" w:cs="Tahoma"/>
          <w:sz w:val="20"/>
          <w:szCs w:val="20"/>
        </w:rPr>
        <w:t>] de [</w:t>
      </w:r>
      <w:r w:rsidRPr="00A3503E">
        <w:rPr>
          <w:rFonts w:ascii="Tahoma" w:hAnsi="Tahoma" w:cs="Tahoma"/>
          <w:sz w:val="20"/>
          <w:szCs w:val="20"/>
          <w:highlight w:val="yellow"/>
        </w:rPr>
        <w:t>●</w:t>
      </w:r>
      <w:r w:rsidRPr="00A3503E">
        <w:rPr>
          <w:rFonts w:ascii="Tahoma" w:hAnsi="Tahoma" w:cs="Tahoma"/>
          <w:sz w:val="20"/>
          <w:szCs w:val="20"/>
        </w:rPr>
        <w:t xml:space="preserve">] de </w:t>
      </w:r>
      <w:r w:rsidR="00E731CA">
        <w:rPr>
          <w:rFonts w:ascii="Tahoma" w:hAnsi="Tahoma" w:cs="Tahoma"/>
          <w:sz w:val="20"/>
          <w:szCs w:val="20"/>
        </w:rPr>
        <w:t>202</w:t>
      </w:r>
      <w:r w:rsidR="00D235CB">
        <w:rPr>
          <w:rFonts w:ascii="Tahoma" w:hAnsi="Tahoma" w:cs="Tahoma"/>
          <w:sz w:val="20"/>
          <w:szCs w:val="20"/>
        </w:rPr>
        <w:t>5</w:t>
      </w:r>
      <w:r w:rsidRPr="00A3503E">
        <w:rPr>
          <w:rFonts w:ascii="Tahoma" w:hAnsi="Tahoma" w:cs="Tahoma"/>
          <w:sz w:val="20"/>
          <w:szCs w:val="20"/>
        </w:rPr>
        <w:t>.</w:t>
      </w:r>
    </w:p>
    <w:p w14:paraId="60929542" w14:textId="77777777" w:rsidR="002B49DE" w:rsidRPr="00A3503E" w:rsidRDefault="002B49DE" w:rsidP="0016677C">
      <w:pPr>
        <w:jc w:val="both"/>
        <w:rPr>
          <w:rFonts w:ascii="Tahoma" w:hAnsi="Tahoma" w:cs="Tahoma"/>
          <w:sz w:val="20"/>
          <w:szCs w:val="20"/>
        </w:rPr>
      </w:pPr>
    </w:p>
    <w:p w14:paraId="7275003B" w14:textId="501A7BA3" w:rsidR="0016677C" w:rsidRPr="00E731CA" w:rsidRDefault="00E731CA" w:rsidP="0016677C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E731CA">
        <w:rPr>
          <w:rFonts w:ascii="Tahoma" w:hAnsi="Tahoma" w:cs="Tahoma"/>
          <w:sz w:val="20"/>
          <w:szCs w:val="20"/>
          <w:lang w:val="pt-BR"/>
        </w:rPr>
        <w:t>Planigrupo Latam</w:t>
      </w:r>
      <w:r w:rsidR="0016677C" w:rsidRPr="00E731CA">
        <w:rPr>
          <w:rFonts w:ascii="Tahoma" w:hAnsi="Tahoma" w:cs="Tahoma"/>
          <w:sz w:val="20"/>
          <w:szCs w:val="20"/>
          <w:lang w:val="pt-BR"/>
        </w:rPr>
        <w:t>, S.A.B. de C.V.</w:t>
      </w:r>
      <w:r w:rsidR="00B55817">
        <w:rPr>
          <w:rFonts w:ascii="Tahoma" w:hAnsi="Tahoma" w:cs="Tahoma"/>
          <w:sz w:val="20"/>
          <w:szCs w:val="20"/>
          <w:lang w:val="pt-BR"/>
        </w:rPr>
        <w:t xml:space="preserve">  </w:t>
      </w:r>
      <w:r w:rsidR="00C819CD">
        <w:rPr>
          <w:rFonts w:ascii="Tahoma" w:hAnsi="Tahoma" w:cs="Tahoma"/>
          <w:sz w:val="20"/>
          <w:szCs w:val="20"/>
          <w:lang w:val="pt-BR"/>
        </w:rPr>
        <w:t xml:space="preserve">   </w:t>
      </w:r>
    </w:p>
    <w:p w14:paraId="4C6C0882" w14:textId="3F54707F" w:rsidR="001312C9" w:rsidRDefault="00E731CA" w:rsidP="00BB479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[●]</w:t>
      </w:r>
    </w:p>
    <w:p w14:paraId="5879E9F4" w14:textId="50D2B95F" w:rsidR="00E731CA" w:rsidRDefault="00E731CA" w:rsidP="00BB479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[●]</w:t>
      </w:r>
    </w:p>
    <w:p w14:paraId="368F092B" w14:textId="0973FF67" w:rsidR="00E731CA" w:rsidRPr="00A3503E" w:rsidRDefault="00E731CA" w:rsidP="00BB479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[●]</w:t>
      </w:r>
    </w:p>
    <w:p w14:paraId="678F3379" w14:textId="10907F61" w:rsidR="0016677C" w:rsidRDefault="0016677C" w:rsidP="00BB479A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 xml:space="preserve">Atención: </w:t>
      </w:r>
      <w:r w:rsidR="00E731CA">
        <w:rPr>
          <w:rFonts w:ascii="Tahoma" w:hAnsi="Tahoma" w:cs="Tahoma"/>
          <w:color w:val="000000"/>
          <w:sz w:val="20"/>
          <w:szCs w:val="20"/>
        </w:rPr>
        <w:t>[●], [●] y [●]</w:t>
      </w:r>
    </w:p>
    <w:p w14:paraId="7BB69766" w14:textId="00BEE8B3" w:rsidR="005E3E4B" w:rsidRPr="00A3503E" w:rsidRDefault="005E3E4B" w:rsidP="00BB479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Correo: </w:t>
      </w:r>
      <w:hyperlink r:id="rId7" w:history="1">
        <w:r w:rsidR="00E731CA" w:rsidRPr="009615D5">
          <w:rPr>
            <w:rStyle w:val="Hipervnculo"/>
            <w:rFonts w:ascii="Tahoma" w:hAnsi="Tahoma" w:cs="Tahoma"/>
            <w:bCs/>
            <w:sz w:val="20"/>
            <w:szCs w:val="20"/>
          </w:rPr>
          <w:t>mfchavezg@gminfra.mx</w:t>
        </w:r>
      </w:hyperlink>
      <w:r w:rsidR="00E731CA" w:rsidRPr="009615D5">
        <w:rPr>
          <w:rFonts w:ascii="Tahoma" w:hAnsi="Tahoma" w:cs="Tahoma"/>
          <w:bCs/>
          <w:sz w:val="20"/>
          <w:szCs w:val="20"/>
        </w:rPr>
        <w:t xml:space="preserve"> y/o </w:t>
      </w:r>
      <w:hyperlink r:id="rId8" w:history="1">
        <w:r w:rsidR="00E731CA" w:rsidRPr="009615D5">
          <w:rPr>
            <w:rStyle w:val="Hipervnculo"/>
            <w:rFonts w:ascii="Tahoma" w:hAnsi="Tahoma" w:cs="Tahoma"/>
            <w:bCs/>
            <w:sz w:val="20"/>
            <w:szCs w:val="20"/>
          </w:rPr>
          <w:t>jramirezg@gminfra.mx</w:t>
        </w:r>
      </w:hyperlink>
      <w:r w:rsidR="00E731CA" w:rsidRPr="009615D5">
        <w:rPr>
          <w:rFonts w:ascii="Tahoma" w:hAnsi="Tahoma" w:cs="Tahoma"/>
          <w:bCs/>
          <w:sz w:val="20"/>
          <w:szCs w:val="20"/>
        </w:rPr>
        <w:t xml:space="preserve"> y/o </w:t>
      </w:r>
      <w:hyperlink r:id="rId9" w:history="1">
        <w:r w:rsidR="00E731CA" w:rsidRPr="009615D5">
          <w:rPr>
            <w:rStyle w:val="Hipervnculo"/>
            <w:rFonts w:ascii="Tahoma" w:hAnsi="Tahoma" w:cs="Tahoma"/>
            <w:bCs/>
            <w:sz w:val="20"/>
            <w:szCs w:val="20"/>
          </w:rPr>
          <w:t>jgomeza@gminfra.mx</w:t>
        </w:r>
      </w:hyperlink>
      <w:r w:rsidR="00E731CA" w:rsidRPr="009615D5">
        <w:rPr>
          <w:rFonts w:ascii="Tahoma" w:hAnsi="Tahoma" w:cs="Tahoma"/>
          <w:bCs/>
          <w:sz w:val="20"/>
          <w:szCs w:val="20"/>
        </w:rPr>
        <w:t xml:space="preserve"> y/o </w:t>
      </w:r>
      <w:hyperlink r:id="rId10" w:history="1">
        <w:r w:rsidR="00E731CA" w:rsidRPr="009615D5">
          <w:rPr>
            <w:rStyle w:val="Hipervnculo"/>
            <w:rFonts w:ascii="Tahoma" w:hAnsi="Tahoma" w:cs="Tahoma"/>
            <w:bCs/>
            <w:sz w:val="20"/>
            <w:szCs w:val="20"/>
          </w:rPr>
          <w:t>fvillarrealm@gminfra.mx</w:t>
        </w:r>
      </w:hyperlink>
      <w:r w:rsidR="00E731CA" w:rsidRPr="009615D5">
        <w:rPr>
          <w:rFonts w:ascii="Tahoma" w:hAnsi="Tahoma" w:cs="Tahoma"/>
          <w:bCs/>
          <w:sz w:val="20"/>
          <w:szCs w:val="20"/>
        </w:rPr>
        <w:t xml:space="preserve"> y/o </w:t>
      </w:r>
      <w:hyperlink r:id="rId11" w:history="1">
        <w:r w:rsidR="00E731CA" w:rsidRPr="009615D5">
          <w:rPr>
            <w:rStyle w:val="Hipervnculo"/>
            <w:rFonts w:ascii="Tahoma" w:hAnsi="Tahoma" w:cs="Tahoma"/>
            <w:bCs/>
            <w:sz w:val="20"/>
            <w:szCs w:val="20"/>
          </w:rPr>
          <w:t>jimorenoo@gminfra.mx</w:t>
        </w:r>
      </w:hyperlink>
    </w:p>
    <w:p w14:paraId="26DB1A38" w14:textId="77777777" w:rsidR="004F259A" w:rsidRPr="00A3503E" w:rsidRDefault="004F259A" w:rsidP="0016677C">
      <w:pPr>
        <w:jc w:val="both"/>
        <w:rPr>
          <w:rFonts w:ascii="Tahoma" w:hAnsi="Tahoma" w:cs="Tahoma"/>
          <w:sz w:val="20"/>
          <w:szCs w:val="20"/>
        </w:rPr>
      </w:pPr>
    </w:p>
    <w:p w14:paraId="3E899B0E" w14:textId="77777777" w:rsidR="00AE57DB" w:rsidRPr="00A3503E" w:rsidRDefault="00AE57DB" w:rsidP="00AE57DB">
      <w:pPr>
        <w:jc w:val="right"/>
        <w:rPr>
          <w:rFonts w:ascii="Tahoma" w:hAnsi="Tahoma" w:cs="Tahoma"/>
          <w:b/>
          <w:sz w:val="20"/>
          <w:szCs w:val="20"/>
        </w:rPr>
      </w:pPr>
      <w:r w:rsidRPr="00A3503E">
        <w:rPr>
          <w:rFonts w:ascii="Tahoma" w:hAnsi="Tahoma" w:cs="Tahoma"/>
          <w:b/>
          <w:sz w:val="20"/>
          <w:szCs w:val="20"/>
        </w:rPr>
        <w:t xml:space="preserve">Ref.: </w:t>
      </w:r>
      <w:r w:rsidRPr="00A3503E">
        <w:rPr>
          <w:rFonts w:ascii="Tahoma" w:hAnsi="Tahoma" w:cs="Tahoma"/>
          <w:b/>
          <w:sz w:val="20"/>
          <w:szCs w:val="20"/>
          <w:u w:val="single"/>
        </w:rPr>
        <w:t>Derecho de Preferencia Adicional</w:t>
      </w:r>
      <w:r w:rsidRPr="00A3503E">
        <w:rPr>
          <w:rFonts w:ascii="Tahoma" w:hAnsi="Tahoma" w:cs="Tahoma"/>
          <w:b/>
          <w:sz w:val="20"/>
          <w:szCs w:val="20"/>
        </w:rPr>
        <w:t>.</w:t>
      </w:r>
    </w:p>
    <w:p w14:paraId="400E3137" w14:textId="77777777" w:rsidR="002B49DE" w:rsidRDefault="002B49DE" w:rsidP="002B49DE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14:paraId="7B82EF9B" w14:textId="3D734F69" w:rsidR="00A35811" w:rsidRDefault="00A35811" w:rsidP="00A35811">
      <w:pPr>
        <w:tabs>
          <w:tab w:val="left" w:pos="567"/>
        </w:tabs>
        <w:jc w:val="center"/>
        <w:rPr>
          <w:rFonts w:ascii="Tahoma" w:hAnsi="Tahoma" w:cs="Tahoma"/>
          <w:i/>
          <w:sz w:val="20"/>
          <w:szCs w:val="20"/>
        </w:rPr>
      </w:pPr>
      <w:r w:rsidRPr="00A35811">
        <w:rPr>
          <w:rFonts w:ascii="Tahoma" w:hAnsi="Tahoma" w:cs="Tahoma"/>
          <w:i/>
          <w:sz w:val="20"/>
          <w:szCs w:val="20"/>
          <w:highlight w:val="yellow"/>
        </w:rPr>
        <w:t xml:space="preserve">[Nota: Esta carta será entregada solo para el ejercicio del derecho de preferencia adicional, el derecho de preferencia ordinario será ejercido </w:t>
      </w:r>
      <w:r w:rsidR="007C365A">
        <w:rPr>
          <w:rFonts w:ascii="Tahoma" w:hAnsi="Tahoma" w:cs="Tahoma"/>
          <w:i/>
          <w:sz w:val="20"/>
          <w:szCs w:val="20"/>
          <w:highlight w:val="yellow"/>
        </w:rPr>
        <w:t xml:space="preserve">(i) </w:t>
      </w:r>
      <w:r w:rsidRPr="00A35811">
        <w:rPr>
          <w:rFonts w:ascii="Tahoma" w:hAnsi="Tahoma" w:cs="Tahoma"/>
          <w:i/>
          <w:sz w:val="20"/>
          <w:szCs w:val="20"/>
          <w:highlight w:val="yellow"/>
        </w:rPr>
        <w:t>a través de los custodios mediante la entrega de los formatos oficiales que el Indeval pone a disposición en su página de internet</w:t>
      </w:r>
      <w:r w:rsidR="007C365A">
        <w:rPr>
          <w:rFonts w:ascii="Tahoma" w:hAnsi="Tahoma" w:cs="Tahoma"/>
          <w:i/>
          <w:sz w:val="20"/>
          <w:szCs w:val="20"/>
          <w:highlight w:val="yellow"/>
        </w:rPr>
        <w:t xml:space="preserve"> o (ii) mediante escrito libre si el ejercicio del derecho de preferencia ordinario se ejerce de manera directa frente a la Sociedad</w:t>
      </w:r>
      <w:r w:rsidRPr="00A35811">
        <w:rPr>
          <w:rFonts w:ascii="Tahoma" w:hAnsi="Tahoma" w:cs="Tahoma"/>
          <w:i/>
          <w:sz w:val="20"/>
          <w:szCs w:val="20"/>
          <w:highlight w:val="yellow"/>
        </w:rPr>
        <w:t>]</w:t>
      </w:r>
    </w:p>
    <w:p w14:paraId="692F0B56" w14:textId="77777777" w:rsidR="004F259A" w:rsidRPr="00A3503E" w:rsidRDefault="004F259A" w:rsidP="002B49DE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14:paraId="4CD2D029" w14:textId="77777777" w:rsidR="0016677C" w:rsidRPr="00A3503E" w:rsidRDefault="00BB479A" w:rsidP="00803D53">
      <w:pPr>
        <w:tabs>
          <w:tab w:val="left" w:pos="567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 xml:space="preserve">Estimado </w:t>
      </w:r>
      <w:r w:rsidR="001312C9" w:rsidRPr="00A3503E">
        <w:rPr>
          <w:rFonts w:ascii="Tahoma" w:hAnsi="Tahoma" w:cs="Tahoma"/>
          <w:color w:val="000000"/>
          <w:sz w:val="20"/>
          <w:szCs w:val="20"/>
        </w:rPr>
        <w:t>[●]</w:t>
      </w:r>
      <w:r w:rsidRPr="00A3503E">
        <w:rPr>
          <w:rFonts w:ascii="Tahoma" w:hAnsi="Tahoma" w:cs="Tahoma"/>
          <w:sz w:val="20"/>
          <w:szCs w:val="20"/>
        </w:rPr>
        <w:t>:</w:t>
      </w:r>
    </w:p>
    <w:p w14:paraId="4E88A0A4" w14:textId="77777777" w:rsidR="00BB479A" w:rsidRPr="00A3503E" w:rsidRDefault="00BB479A" w:rsidP="00803D53">
      <w:pPr>
        <w:tabs>
          <w:tab w:val="left" w:pos="567"/>
        </w:tabs>
        <w:ind w:firstLine="709"/>
        <w:jc w:val="both"/>
        <w:rPr>
          <w:rFonts w:ascii="Tahoma" w:hAnsi="Tahoma" w:cs="Tahoma"/>
          <w:sz w:val="20"/>
          <w:szCs w:val="20"/>
        </w:rPr>
      </w:pPr>
    </w:p>
    <w:p w14:paraId="6A87950F" w14:textId="5AE76D5C" w:rsidR="0016677C" w:rsidRPr="00A3503E" w:rsidRDefault="0016677C" w:rsidP="00803D53">
      <w:pPr>
        <w:tabs>
          <w:tab w:val="left" w:pos="567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 xml:space="preserve">Hacemos referencia al aumento de capital de </w:t>
      </w:r>
      <w:r w:rsidR="00E731CA">
        <w:rPr>
          <w:rFonts w:ascii="Tahoma" w:hAnsi="Tahoma" w:cs="Tahoma"/>
          <w:sz w:val="20"/>
          <w:szCs w:val="20"/>
        </w:rPr>
        <w:t>Planigrupo Latam</w:t>
      </w:r>
      <w:r w:rsidRPr="00A3503E">
        <w:rPr>
          <w:rFonts w:ascii="Tahoma" w:hAnsi="Tahoma" w:cs="Tahoma"/>
          <w:sz w:val="20"/>
          <w:szCs w:val="20"/>
        </w:rPr>
        <w:t>, S.A.B. de C.V. (“</w:t>
      </w:r>
      <w:r w:rsidR="00E731CA">
        <w:rPr>
          <w:rFonts w:ascii="Tahoma" w:hAnsi="Tahoma" w:cs="Tahoma"/>
          <w:sz w:val="20"/>
          <w:szCs w:val="20"/>
          <w:u w:val="single"/>
        </w:rPr>
        <w:t>Planigrupo</w:t>
      </w:r>
      <w:r w:rsidRPr="00A3503E">
        <w:rPr>
          <w:rFonts w:ascii="Tahoma" w:hAnsi="Tahoma" w:cs="Tahoma"/>
          <w:sz w:val="20"/>
          <w:szCs w:val="20"/>
        </w:rPr>
        <w:t>”</w:t>
      </w:r>
      <w:r w:rsidR="002B49DE" w:rsidRPr="00A3503E">
        <w:rPr>
          <w:rFonts w:ascii="Tahoma" w:hAnsi="Tahoma" w:cs="Tahoma"/>
          <w:sz w:val="20"/>
          <w:szCs w:val="20"/>
        </w:rPr>
        <w:t xml:space="preserve"> o la “</w:t>
      </w:r>
      <w:r w:rsidR="002B49DE" w:rsidRPr="00A3503E">
        <w:rPr>
          <w:rFonts w:ascii="Tahoma" w:hAnsi="Tahoma" w:cs="Tahoma"/>
          <w:sz w:val="20"/>
          <w:szCs w:val="20"/>
          <w:u w:val="single"/>
        </w:rPr>
        <w:t>Sociedad</w:t>
      </w:r>
      <w:r w:rsidR="002B49DE" w:rsidRPr="00A3503E">
        <w:rPr>
          <w:rFonts w:ascii="Tahoma" w:hAnsi="Tahoma" w:cs="Tahoma"/>
          <w:sz w:val="20"/>
          <w:szCs w:val="20"/>
        </w:rPr>
        <w:t>”</w:t>
      </w:r>
      <w:r w:rsidRPr="00A3503E">
        <w:rPr>
          <w:rFonts w:ascii="Tahoma" w:hAnsi="Tahoma" w:cs="Tahoma"/>
          <w:sz w:val="20"/>
          <w:szCs w:val="20"/>
        </w:rPr>
        <w:t>) aprobado mediante</w:t>
      </w:r>
      <w:r w:rsidR="007C365A">
        <w:rPr>
          <w:rFonts w:ascii="Tahoma" w:hAnsi="Tahoma" w:cs="Tahoma"/>
          <w:sz w:val="20"/>
          <w:szCs w:val="20"/>
        </w:rPr>
        <w:t xml:space="preserve"> los acuerdos de la</w:t>
      </w:r>
      <w:r w:rsidRPr="00A3503E">
        <w:rPr>
          <w:rFonts w:ascii="Tahoma" w:hAnsi="Tahoma" w:cs="Tahoma"/>
          <w:sz w:val="20"/>
          <w:szCs w:val="20"/>
        </w:rPr>
        <w:t xml:space="preserve"> Asamblea General </w:t>
      </w:r>
      <w:r w:rsidR="007C365A">
        <w:rPr>
          <w:rFonts w:ascii="Tahoma" w:hAnsi="Tahoma" w:cs="Tahoma"/>
          <w:sz w:val="20"/>
          <w:szCs w:val="20"/>
        </w:rPr>
        <w:t>Extraordinaria</w:t>
      </w:r>
      <w:r w:rsidRPr="00A3503E">
        <w:rPr>
          <w:rFonts w:ascii="Tahoma" w:hAnsi="Tahoma" w:cs="Tahoma"/>
          <w:sz w:val="20"/>
          <w:szCs w:val="20"/>
        </w:rPr>
        <w:t xml:space="preserve"> de Accionistas </w:t>
      </w:r>
      <w:r w:rsidR="007C365A">
        <w:rPr>
          <w:rFonts w:ascii="Tahoma" w:hAnsi="Tahoma" w:cs="Tahoma"/>
          <w:sz w:val="20"/>
          <w:szCs w:val="20"/>
        </w:rPr>
        <w:t xml:space="preserve">adoptados el </w:t>
      </w:r>
      <w:r w:rsidR="003F66E1">
        <w:rPr>
          <w:rFonts w:ascii="Tahoma" w:hAnsi="Tahoma" w:cs="Tahoma"/>
          <w:sz w:val="20"/>
          <w:szCs w:val="20"/>
        </w:rPr>
        <w:t>2</w:t>
      </w:r>
      <w:r w:rsidR="003F66E1" w:rsidRPr="003F66E1">
        <w:rPr>
          <w:rFonts w:ascii="Tahoma" w:hAnsi="Tahoma" w:cs="Tahoma"/>
          <w:sz w:val="20"/>
          <w:szCs w:val="20"/>
        </w:rPr>
        <w:t>9 de agosto y el 9 de septiembre de 2024</w:t>
      </w:r>
      <w:r w:rsidR="003F66E1">
        <w:rPr>
          <w:rFonts w:ascii="Tahoma" w:hAnsi="Tahoma" w:cs="Tahoma"/>
          <w:sz w:val="20"/>
          <w:szCs w:val="20"/>
        </w:rPr>
        <w:t xml:space="preserve"> y los acuerdos del </w:t>
      </w:r>
      <w:r w:rsidR="003F66E1" w:rsidRPr="003F66E1">
        <w:rPr>
          <w:rFonts w:ascii="Tahoma" w:hAnsi="Tahoma" w:cs="Tahoma"/>
          <w:sz w:val="20"/>
          <w:szCs w:val="20"/>
        </w:rPr>
        <w:t xml:space="preserve">20 de enero de 2025, </w:t>
      </w:r>
      <w:r w:rsidR="003F66E1">
        <w:rPr>
          <w:rFonts w:ascii="Tahoma" w:hAnsi="Tahoma" w:cs="Tahoma"/>
          <w:sz w:val="20"/>
          <w:szCs w:val="20"/>
        </w:rPr>
        <w:t xml:space="preserve">aprobados por </w:t>
      </w:r>
      <w:r w:rsidR="003F66E1" w:rsidRPr="003F66E1">
        <w:rPr>
          <w:rFonts w:ascii="Tahoma" w:hAnsi="Tahoma" w:cs="Tahoma"/>
          <w:sz w:val="20"/>
          <w:szCs w:val="20"/>
        </w:rPr>
        <w:t xml:space="preserve">el Consejo de Administración de Planigrupo </w:t>
      </w:r>
      <w:r w:rsidRPr="00A3503E">
        <w:rPr>
          <w:rFonts w:ascii="Tahoma" w:hAnsi="Tahoma" w:cs="Tahoma"/>
          <w:sz w:val="20"/>
          <w:szCs w:val="20"/>
        </w:rPr>
        <w:t>(</w:t>
      </w:r>
      <w:r w:rsidR="005A4730" w:rsidRPr="00A3503E">
        <w:rPr>
          <w:rFonts w:ascii="Tahoma" w:hAnsi="Tahoma" w:cs="Tahoma"/>
          <w:sz w:val="20"/>
          <w:szCs w:val="20"/>
        </w:rPr>
        <w:t>l</w:t>
      </w:r>
      <w:r w:rsidR="003F66E1">
        <w:rPr>
          <w:rFonts w:ascii="Tahoma" w:hAnsi="Tahoma" w:cs="Tahoma"/>
          <w:sz w:val="20"/>
          <w:szCs w:val="20"/>
        </w:rPr>
        <w:t>os</w:t>
      </w:r>
      <w:r w:rsidRPr="00A3503E">
        <w:rPr>
          <w:rFonts w:ascii="Tahoma" w:hAnsi="Tahoma" w:cs="Tahoma"/>
          <w:sz w:val="20"/>
          <w:szCs w:val="20"/>
        </w:rPr>
        <w:t xml:space="preserve"> “</w:t>
      </w:r>
      <w:r w:rsidR="003F66E1">
        <w:rPr>
          <w:rFonts w:ascii="Tahoma" w:hAnsi="Tahoma" w:cs="Tahoma"/>
          <w:sz w:val="20"/>
          <w:szCs w:val="20"/>
          <w:u w:val="single"/>
        </w:rPr>
        <w:t>Acuerdos del</w:t>
      </w:r>
      <w:r w:rsidR="005A4730" w:rsidRPr="00A3503E">
        <w:rPr>
          <w:rFonts w:ascii="Tahoma" w:hAnsi="Tahoma" w:cs="Tahoma"/>
          <w:sz w:val="20"/>
          <w:szCs w:val="20"/>
          <w:u w:val="single"/>
        </w:rPr>
        <w:t xml:space="preserve"> </w:t>
      </w:r>
      <w:r w:rsidRPr="00A3503E">
        <w:rPr>
          <w:rFonts w:ascii="Tahoma" w:hAnsi="Tahoma" w:cs="Tahoma"/>
          <w:sz w:val="20"/>
          <w:szCs w:val="20"/>
          <w:u w:val="single"/>
        </w:rPr>
        <w:t>Aumento de Capital</w:t>
      </w:r>
      <w:r w:rsidRPr="00A3503E">
        <w:rPr>
          <w:rFonts w:ascii="Tahoma" w:hAnsi="Tahoma" w:cs="Tahoma"/>
          <w:sz w:val="20"/>
          <w:szCs w:val="20"/>
        </w:rPr>
        <w:t>”).</w:t>
      </w:r>
    </w:p>
    <w:p w14:paraId="6E6E4659" w14:textId="77777777" w:rsidR="00AE57DB" w:rsidRPr="00A3503E" w:rsidRDefault="00AE57DB" w:rsidP="00803D53">
      <w:pPr>
        <w:pStyle w:val="Prrafodelista"/>
        <w:tabs>
          <w:tab w:val="left" w:pos="567"/>
          <w:tab w:val="left" w:pos="1134"/>
        </w:tabs>
        <w:ind w:left="0" w:firstLine="709"/>
        <w:rPr>
          <w:rFonts w:ascii="Tahoma" w:hAnsi="Tahoma" w:cs="Tahoma"/>
          <w:sz w:val="20"/>
          <w:szCs w:val="20"/>
        </w:rPr>
      </w:pPr>
    </w:p>
    <w:p w14:paraId="178DC5BC" w14:textId="3ECB478F" w:rsidR="00AE57DB" w:rsidRPr="00A35811" w:rsidRDefault="00BB4F50" w:rsidP="00803D53">
      <w:pPr>
        <w:pStyle w:val="Prrafodelista"/>
        <w:tabs>
          <w:tab w:val="left" w:pos="567"/>
          <w:tab w:val="left" w:pos="1134"/>
        </w:tabs>
        <w:ind w:left="0" w:firstLine="709"/>
        <w:jc w:val="both"/>
        <w:rPr>
          <w:rFonts w:ascii="Tahoma" w:hAnsi="Tahoma" w:cs="Tahoma"/>
          <w:i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M</w:t>
      </w:r>
      <w:r w:rsidR="00AE57DB" w:rsidRPr="00A3503E">
        <w:rPr>
          <w:rFonts w:ascii="Tahoma" w:hAnsi="Tahoma" w:cs="Tahoma"/>
          <w:sz w:val="20"/>
          <w:szCs w:val="20"/>
        </w:rPr>
        <w:t xml:space="preserve">ediante la entrega de esta Notificación de Preferencia Adicional, ejerzo, de manera irrevocable, mi Derecho de Preferencia Adicional </w:t>
      </w:r>
      <w:r w:rsidRPr="00A3503E">
        <w:rPr>
          <w:rFonts w:ascii="Tahoma" w:hAnsi="Tahoma" w:cs="Tahoma"/>
          <w:sz w:val="20"/>
          <w:szCs w:val="20"/>
        </w:rPr>
        <w:t xml:space="preserve">y me obligo a </w:t>
      </w:r>
      <w:r w:rsidR="00AE57DB" w:rsidRPr="00A3503E">
        <w:rPr>
          <w:rFonts w:ascii="Tahoma" w:hAnsi="Tahoma" w:cs="Tahoma"/>
          <w:sz w:val="20"/>
          <w:szCs w:val="20"/>
        </w:rPr>
        <w:t xml:space="preserve">suscribir hasta </w:t>
      </w:r>
      <w:r w:rsidR="00AE57DB" w:rsidRPr="00A3503E">
        <w:rPr>
          <w:rFonts w:ascii="Tahoma" w:hAnsi="Tahoma" w:cs="Tahoma"/>
          <w:sz w:val="20"/>
          <w:szCs w:val="20"/>
          <w:highlight w:val="yellow"/>
        </w:rPr>
        <w:t>[●]</w:t>
      </w:r>
      <w:r w:rsidR="00AE57DB" w:rsidRPr="00A3503E">
        <w:rPr>
          <w:rFonts w:ascii="Tahoma" w:hAnsi="Tahoma" w:cs="Tahoma"/>
          <w:sz w:val="20"/>
          <w:szCs w:val="20"/>
        </w:rPr>
        <w:t xml:space="preserve"> Acciones adicionales a mi participación proporcional actual </w:t>
      </w:r>
      <w:r w:rsidR="006B57E4" w:rsidRPr="00A3503E">
        <w:rPr>
          <w:rFonts w:ascii="Tahoma" w:hAnsi="Tahoma" w:cs="Tahoma"/>
          <w:sz w:val="20"/>
          <w:szCs w:val="20"/>
        </w:rPr>
        <w:t>(las “</w:t>
      </w:r>
      <w:r w:rsidR="006B57E4" w:rsidRPr="00A3503E">
        <w:rPr>
          <w:rFonts w:ascii="Tahoma" w:hAnsi="Tahoma" w:cs="Tahoma"/>
          <w:sz w:val="20"/>
          <w:szCs w:val="20"/>
          <w:u w:val="single"/>
        </w:rPr>
        <w:t>Acciones Adicionales</w:t>
      </w:r>
      <w:r w:rsidR="006B57E4" w:rsidRPr="00A3503E">
        <w:rPr>
          <w:rFonts w:ascii="Tahoma" w:hAnsi="Tahoma" w:cs="Tahoma"/>
          <w:sz w:val="20"/>
          <w:szCs w:val="20"/>
        </w:rPr>
        <w:t xml:space="preserve">”) </w:t>
      </w:r>
      <w:r w:rsidR="00AE57DB" w:rsidRPr="00A3503E">
        <w:rPr>
          <w:rFonts w:ascii="Tahoma" w:hAnsi="Tahoma" w:cs="Tahoma"/>
          <w:sz w:val="20"/>
          <w:szCs w:val="20"/>
        </w:rPr>
        <w:t>y a pagar una cantidad total de hasta $</w:t>
      </w:r>
      <w:r w:rsidR="006B57E4" w:rsidRPr="00A3503E">
        <w:rPr>
          <w:rFonts w:ascii="Tahoma" w:hAnsi="Tahoma" w:cs="Tahoma"/>
          <w:sz w:val="20"/>
          <w:szCs w:val="20"/>
          <w:highlight w:val="yellow"/>
        </w:rPr>
        <w:t>[●]</w:t>
      </w:r>
      <w:r w:rsidR="00AE57DB" w:rsidRPr="00A3503E">
        <w:rPr>
          <w:rFonts w:ascii="Tahoma" w:hAnsi="Tahoma" w:cs="Tahoma"/>
          <w:sz w:val="20"/>
          <w:szCs w:val="20"/>
        </w:rPr>
        <w:t xml:space="preserve"> (</w:t>
      </w:r>
      <w:r w:rsidR="006B57E4" w:rsidRPr="00A3503E">
        <w:rPr>
          <w:rFonts w:ascii="Tahoma" w:hAnsi="Tahoma" w:cs="Tahoma"/>
          <w:sz w:val="20"/>
          <w:szCs w:val="20"/>
          <w:highlight w:val="yellow"/>
        </w:rPr>
        <w:t>[●]</w:t>
      </w:r>
      <w:r w:rsidR="00AE57DB" w:rsidRPr="00A3503E">
        <w:rPr>
          <w:rFonts w:ascii="Tahoma" w:hAnsi="Tahoma" w:cs="Tahoma"/>
          <w:sz w:val="20"/>
          <w:szCs w:val="20"/>
        </w:rPr>
        <w:t xml:space="preserve"> </w:t>
      </w:r>
      <w:r w:rsidR="00D235CB">
        <w:rPr>
          <w:rFonts w:ascii="Tahoma" w:hAnsi="Tahoma" w:cs="Tahoma"/>
          <w:sz w:val="20"/>
          <w:szCs w:val="20"/>
        </w:rPr>
        <w:t>P</w:t>
      </w:r>
      <w:r w:rsidR="00AE57DB" w:rsidRPr="00A3503E">
        <w:rPr>
          <w:rFonts w:ascii="Tahoma" w:hAnsi="Tahoma" w:cs="Tahoma"/>
          <w:sz w:val="20"/>
          <w:szCs w:val="20"/>
        </w:rPr>
        <w:t>esos 00/100 moneda nacional)</w:t>
      </w:r>
      <w:r w:rsidRPr="00A3503E">
        <w:rPr>
          <w:rFonts w:ascii="Tahoma" w:hAnsi="Tahoma" w:cs="Tahoma"/>
          <w:sz w:val="20"/>
          <w:szCs w:val="20"/>
        </w:rPr>
        <w:t xml:space="preserve">, sobre una base de 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>$1</w:t>
      </w:r>
      <w:r w:rsidR="003F66E1">
        <w:rPr>
          <w:rFonts w:ascii="Tahoma" w:hAnsi="Tahoma" w:cs="Tahoma"/>
          <w:color w:val="000000"/>
          <w:sz w:val="20"/>
          <w:szCs w:val="20"/>
        </w:rPr>
        <w:t>7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>.</w:t>
      </w:r>
      <w:r w:rsidR="003F66E1">
        <w:rPr>
          <w:rFonts w:ascii="Tahoma" w:hAnsi="Tahoma" w:cs="Tahoma"/>
          <w:color w:val="000000"/>
          <w:sz w:val="20"/>
          <w:szCs w:val="20"/>
        </w:rPr>
        <w:t>77000000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>0</w:t>
      </w:r>
      <w:r w:rsidR="003F66E1">
        <w:rPr>
          <w:rFonts w:ascii="Tahoma" w:hAnsi="Tahoma" w:cs="Tahoma"/>
          <w:color w:val="000000"/>
          <w:sz w:val="20"/>
          <w:szCs w:val="20"/>
        </w:rPr>
        <w:t>0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 xml:space="preserve"> (</w:t>
      </w:r>
      <w:r w:rsidR="003F66E1">
        <w:rPr>
          <w:rFonts w:ascii="Tahoma" w:hAnsi="Tahoma" w:cs="Tahoma"/>
          <w:color w:val="000000"/>
          <w:sz w:val="20"/>
          <w:szCs w:val="20"/>
        </w:rPr>
        <w:t>diecisiete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 xml:space="preserve"> pesos </w:t>
      </w:r>
      <w:r w:rsidR="003F66E1">
        <w:rPr>
          <w:rFonts w:ascii="Tahoma" w:hAnsi="Tahoma" w:cs="Tahoma"/>
          <w:color w:val="000000"/>
          <w:sz w:val="20"/>
          <w:szCs w:val="20"/>
        </w:rPr>
        <w:t>77000000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>0</w:t>
      </w:r>
      <w:r w:rsidR="003F66E1">
        <w:rPr>
          <w:rFonts w:ascii="Tahoma" w:hAnsi="Tahoma" w:cs="Tahoma"/>
          <w:color w:val="000000"/>
          <w:sz w:val="20"/>
          <w:szCs w:val="20"/>
        </w:rPr>
        <w:t>0</w:t>
      </w:r>
      <w:r w:rsidR="00E731CA" w:rsidRPr="009615D5">
        <w:rPr>
          <w:rFonts w:ascii="Tahoma" w:hAnsi="Tahoma" w:cs="Tahoma"/>
          <w:color w:val="000000"/>
          <w:sz w:val="20"/>
          <w:szCs w:val="20"/>
        </w:rPr>
        <w:t>/100000000000 Moneda Nacional)</w:t>
      </w:r>
      <w:r w:rsidR="00E731CA" w:rsidRPr="009615D5">
        <w:rPr>
          <w:rFonts w:ascii="Tahoma" w:hAnsi="Tahoma" w:cs="Tahoma"/>
          <w:bCs/>
          <w:sz w:val="20"/>
          <w:szCs w:val="20"/>
        </w:rPr>
        <w:t xml:space="preserve"> </w:t>
      </w:r>
      <w:r w:rsidRPr="00A3503E">
        <w:rPr>
          <w:rFonts w:ascii="Tahoma" w:hAnsi="Tahoma" w:cs="Tahoma"/>
          <w:sz w:val="20"/>
          <w:szCs w:val="20"/>
        </w:rPr>
        <w:t>por Acción</w:t>
      </w:r>
      <w:r w:rsidR="000012C2" w:rsidRPr="00A3503E">
        <w:rPr>
          <w:rFonts w:ascii="Tahoma" w:hAnsi="Tahoma" w:cs="Tahoma"/>
          <w:sz w:val="20"/>
          <w:szCs w:val="20"/>
        </w:rPr>
        <w:t>, como resultado de la suscripción de las Acciones Adicionales</w:t>
      </w:r>
      <w:r w:rsidR="00AE57DB" w:rsidRPr="00A3503E">
        <w:rPr>
          <w:rFonts w:ascii="Tahoma" w:hAnsi="Tahoma" w:cs="Tahoma"/>
          <w:sz w:val="20"/>
          <w:szCs w:val="20"/>
        </w:rPr>
        <w:t xml:space="preserve">. </w:t>
      </w:r>
    </w:p>
    <w:p w14:paraId="34E78B73" w14:textId="77777777" w:rsidR="00BB4F50" w:rsidRPr="00A3503E" w:rsidRDefault="00BB4F50" w:rsidP="00803D53">
      <w:pPr>
        <w:pStyle w:val="Prrafodelista"/>
        <w:tabs>
          <w:tab w:val="left" w:pos="567"/>
          <w:tab w:val="left" w:pos="1134"/>
        </w:tabs>
        <w:ind w:left="0" w:firstLine="709"/>
        <w:jc w:val="both"/>
        <w:rPr>
          <w:rFonts w:ascii="Tahoma" w:hAnsi="Tahoma" w:cs="Tahoma"/>
          <w:sz w:val="20"/>
          <w:szCs w:val="20"/>
        </w:rPr>
      </w:pPr>
    </w:p>
    <w:p w14:paraId="31DD7F90" w14:textId="679A2B44" w:rsidR="00D911C8" w:rsidRPr="00A3503E" w:rsidRDefault="00BB4F50" w:rsidP="00803D53">
      <w:pPr>
        <w:pStyle w:val="Prrafodelista"/>
        <w:tabs>
          <w:tab w:val="left" w:pos="567"/>
          <w:tab w:val="left" w:pos="1134"/>
        </w:tabs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 xml:space="preserve">Lo anterior, en el entendido, que, con base en los </w:t>
      </w:r>
      <w:r w:rsidR="003F66E1">
        <w:rPr>
          <w:rFonts w:ascii="Tahoma" w:hAnsi="Tahoma" w:cs="Tahoma"/>
          <w:sz w:val="20"/>
          <w:szCs w:val="20"/>
        </w:rPr>
        <w:t xml:space="preserve">Acuerdos </w:t>
      </w:r>
      <w:r w:rsidRPr="00A3503E">
        <w:rPr>
          <w:rFonts w:ascii="Tahoma" w:hAnsi="Tahoma" w:cs="Tahoma"/>
          <w:sz w:val="20"/>
          <w:szCs w:val="20"/>
        </w:rPr>
        <w:t>del Aumento de Capital</w:t>
      </w:r>
      <w:r w:rsidR="000012C2" w:rsidRPr="00A3503E">
        <w:rPr>
          <w:rFonts w:ascii="Tahoma" w:hAnsi="Tahoma" w:cs="Tahoma"/>
          <w:sz w:val="20"/>
          <w:szCs w:val="20"/>
        </w:rPr>
        <w:t xml:space="preserve"> </w:t>
      </w:r>
      <w:r w:rsidR="000012C2" w:rsidRPr="00A3503E">
        <w:rPr>
          <w:rFonts w:ascii="Tahoma" w:hAnsi="Tahoma" w:cs="Tahoma"/>
          <w:b/>
          <w:sz w:val="20"/>
          <w:szCs w:val="20"/>
        </w:rPr>
        <w:t xml:space="preserve">(i) </w:t>
      </w:r>
      <w:r w:rsidR="000012C2" w:rsidRPr="00A3503E">
        <w:rPr>
          <w:rFonts w:ascii="Tahoma" w:hAnsi="Tahoma" w:cs="Tahoma"/>
          <w:sz w:val="20"/>
          <w:szCs w:val="20"/>
        </w:rPr>
        <w:t>u</w:t>
      </w:r>
      <w:r w:rsidR="006B57E4" w:rsidRPr="00A3503E">
        <w:rPr>
          <w:rFonts w:ascii="Tahoma" w:hAnsi="Tahoma" w:cs="Tahoma"/>
          <w:sz w:val="20"/>
          <w:szCs w:val="20"/>
        </w:rPr>
        <w:t xml:space="preserve">na vez que concluya el Periodo de Preferencia </w:t>
      </w:r>
      <w:r w:rsidR="000012C2" w:rsidRPr="00A3503E">
        <w:rPr>
          <w:rFonts w:ascii="Tahoma" w:hAnsi="Tahoma" w:cs="Tahoma"/>
          <w:sz w:val="20"/>
          <w:szCs w:val="20"/>
        </w:rPr>
        <w:t xml:space="preserve">y, en su caso, se determine el número de acciones remanentes que podrán ser suscritas y pagadas por los accionistas que hubieren ejercido el Derecho de Preferencia Adicional, la Sociedad </w:t>
      </w:r>
      <w:r w:rsidR="000012C2" w:rsidRPr="004F259A">
        <w:rPr>
          <w:rFonts w:ascii="Tahoma" w:hAnsi="Tahoma" w:cs="Tahoma"/>
          <w:i/>
          <w:sz w:val="20"/>
          <w:szCs w:val="20"/>
        </w:rPr>
        <w:t>(a)</w:t>
      </w:r>
      <w:r w:rsidR="000012C2" w:rsidRPr="00A3503E">
        <w:rPr>
          <w:rFonts w:ascii="Tahoma" w:hAnsi="Tahoma" w:cs="Tahoma"/>
          <w:b/>
          <w:sz w:val="20"/>
          <w:szCs w:val="20"/>
        </w:rPr>
        <w:t xml:space="preserve"> </w:t>
      </w:r>
      <w:r w:rsidR="000012C2" w:rsidRPr="00A3503E">
        <w:rPr>
          <w:rFonts w:ascii="Tahoma" w:hAnsi="Tahoma" w:cs="Tahoma"/>
          <w:sz w:val="20"/>
          <w:szCs w:val="20"/>
        </w:rPr>
        <w:t xml:space="preserve">asignará las acciones remanentes a dichos accionistas con base en las </w:t>
      </w:r>
      <w:r w:rsidR="00D911C8" w:rsidRPr="00A3503E">
        <w:rPr>
          <w:rFonts w:ascii="Tahoma" w:hAnsi="Tahoma" w:cs="Tahoma"/>
          <w:sz w:val="20"/>
          <w:szCs w:val="20"/>
        </w:rPr>
        <w:t>N</w:t>
      </w:r>
      <w:r w:rsidR="000012C2" w:rsidRPr="00A3503E">
        <w:rPr>
          <w:rFonts w:ascii="Tahoma" w:hAnsi="Tahoma" w:cs="Tahoma"/>
          <w:sz w:val="20"/>
          <w:szCs w:val="20"/>
        </w:rPr>
        <w:t xml:space="preserve">otificaciones </w:t>
      </w:r>
      <w:r w:rsidR="00D911C8" w:rsidRPr="00A3503E">
        <w:rPr>
          <w:rFonts w:ascii="Tahoma" w:hAnsi="Tahoma" w:cs="Tahoma"/>
          <w:sz w:val="20"/>
          <w:szCs w:val="20"/>
        </w:rPr>
        <w:t xml:space="preserve">de Preferencia Adicional </w:t>
      </w:r>
      <w:r w:rsidR="000012C2" w:rsidRPr="00A3503E">
        <w:rPr>
          <w:rFonts w:ascii="Tahoma" w:hAnsi="Tahoma" w:cs="Tahoma"/>
          <w:sz w:val="20"/>
          <w:szCs w:val="20"/>
        </w:rPr>
        <w:t xml:space="preserve">que al efecto hubiere recibido, y </w:t>
      </w:r>
      <w:r w:rsidR="000012C2" w:rsidRPr="004F259A">
        <w:rPr>
          <w:rFonts w:ascii="Tahoma" w:hAnsi="Tahoma" w:cs="Tahoma"/>
          <w:i/>
          <w:sz w:val="20"/>
          <w:szCs w:val="20"/>
        </w:rPr>
        <w:t>(b)</w:t>
      </w:r>
      <w:r w:rsidR="000012C2" w:rsidRPr="00A3503E">
        <w:rPr>
          <w:rFonts w:ascii="Tahoma" w:hAnsi="Tahoma" w:cs="Tahoma"/>
          <w:b/>
          <w:sz w:val="20"/>
          <w:szCs w:val="20"/>
        </w:rPr>
        <w:t xml:space="preserve"> </w:t>
      </w:r>
      <w:r w:rsidR="000012C2" w:rsidRPr="00A3503E">
        <w:rPr>
          <w:rFonts w:ascii="Tahoma" w:hAnsi="Tahoma" w:cs="Tahoma"/>
          <w:sz w:val="20"/>
          <w:szCs w:val="20"/>
        </w:rPr>
        <w:t xml:space="preserve">tan pronto como sea posible una vez concluido el Periodo de Preferencia, notificará al o los accionistas de que se trate el monto definitivo que podrán suscribir y pagar por arriba de su </w:t>
      </w:r>
      <w:r w:rsidR="00803D53">
        <w:rPr>
          <w:rFonts w:ascii="Tahoma" w:hAnsi="Tahoma" w:cs="Tahoma"/>
          <w:i/>
          <w:sz w:val="20"/>
          <w:szCs w:val="20"/>
        </w:rPr>
        <w:t xml:space="preserve">pro rata </w:t>
      </w:r>
      <w:r w:rsidR="00803D53">
        <w:rPr>
          <w:rFonts w:ascii="Tahoma" w:hAnsi="Tahoma" w:cs="Tahoma"/>
          <w:sz w:val="20"/>
          <w:szCs w:val="20"/>
        </w:rPr>
        <w:t xml:space="preserve">y </w:t>
      </w:r>
      <w:r w:rsidR="000012C2" w:rsidRPr="00A3503E">
        <w:rPr>
          <w:rFonts w:ascii="Tahoma" w:hAnsi="Tahoma" w:cs="Tahoma"/>
          <w:sz w:val="20"/>
          <w:szCs w:val="20"/>
        </w:rPr>
        <w:t xml:space="preserve">el número de Acciones </w:t>
      </w:r>
      <w:r w:rsidR="00D911C8" w:rsidRPr="00A3503E">
        <w:rPr>
          <w:rFonts w:ascii="Tahoma" w:hAnsi="Tahoma" w:cs="Tahoma"/>
          <w:sz w:val="20"/>
          <w:szCs w:val="20"/>
        </w:rPr>
        <w:t xml:space="preserve">Adicionales </w:t>
      </w:r>
      <w:r w:rsidR="000012C2" w:rsidRPr="00A3503E">
        <w:rPr>
          <w:rFonts w:ascii="Tahoma" w:hAnsi="Tahoma" w:cs="Tahoma"/>
          <w:sz w:val="20"/>
          <w:szCs w:val="20"/>
        </w:rPr>
        <w:t>que resulte con base en dicho monto</w:t>
      </w:r>
      <w:r w:rsidR="00D911C8" w:rsidRPr="00A3503E">
        <w:rPr>
          <w:rFonts w:ascii="Tahoma" w:hAnsi="Tahoma" w:cs="Tahoma"/>
          <w:sz w:val="20"/>
          <w:szCs w:val="20"/>
        </w:rPr>
        <w:t xml:space="preserve">, y </w:t>
      </w:r>
      <w:r w:rsidR="00D911C8" w:rsidRPr="00A3503E">
        <w:rPr>
          <w:rFonts w:ascii="Tahoma" w:hAnsi="Tahoma" w:cs="Tahoma"/>
          <w:b/>
          <w:sz w:val="20"/>
          <w:szCs w:val="20"/>
        </w:rPr>
        <w:t xml:space="preserve">(ii) </w:t>
      </w:r>
      <w:r w:rsidR="00D911C8" w:rsidRPr="00A3503E">
        <w:rPr>
          <w:rFonts w:ascii="Tahoma" w:hAnsi="Tahoma" w:cs="Tahoma"/>
          <w:sz w:val="20"/>
          <w:szCs w:val="20"/>
        </w:rPr>
        <w:t xml:space="preserve">las Acciones Adicionales deberán ser pagadas </w:t>
      </w:r>
      <w:r w:rsidR="00B369AE">
        <w:rPr>
          <w:rFonts w:ascii="Tahoma" w:hAnsi="Tahoma" w:cs="Tahoma"/>
          <w:sz w:val="20"/>
          <w:szCs w:val="20"/>
        </w:rPr>
        <w:t xml:space="preserve">a más tardar el </w:t>
      </w:r>
      <w:r w:rsidR="003F66E1">
        <w:rPr>
          <w:rFonts w:ascii="Tahoma" w:hAnsi="Tahoma" w:cs="Tahoma"/>
          <w:sz w:val="20"/>
          <w:szCs w:val="20"/>
        </w:rPr>
        <w:t>3</w:t>
      </w:r>
      <w:r w:rsidR="00121659">
        <w:rPr>
          <w:rFonts w:ascii="Tahoma" w:hAnsi="Tahoma" w:cs="Tahoma"/>
          <w:sz w:val="20"/>
          <w:szCs w:val="20"/>
        </w:rPr>
        <w:t xml:space="preserve"> de </w:t>
      </w:r>
      <w:r w:rsidR="003F66E1">
        <w:rPr>
          <w:rFonts w:ascii="Tahoma" w:hAnsi="Tahoma" w:cs="Tahoma"/>
          <w:sz w:val="20"/>
          <w:szCs w:val="20"/>
        </w:rPr>
        <w:t>marzo</w:t>
      </w:r>
      <w:r w:rsidR="00B369AE">
        <w:rPr>
          <w:rFonts w:ascii="Tahoma" w:hAnsi="Tahoma" w:cs="Tahoma"/>
          <w:sz w:val="20"/>
          <w:szCs w:val="20"/>
        </w:rPr>
        <w:t xml:space="preserve"> de 202</w:t>
      </w:r>
      <w:r w:rsidR="003F66E1">
        <w:rPr>
          <w:rFonts w:ascii="Tahoma" w:hAnsi="Tahoma" w:cs="Tahoma"/>
          <w:sz w:val="20"/>
          <w:szCs w:val="20"/>
        </w:rPr>
        <w:t>5</w:t>
      </w:r>
      <w:r w:rsidR="009C4E7C">
        <w:rPr>
          <w:rFonts w:ascii="Tahoma" w:hAnsi="Tahoma" w:cs="Tahoma"/>
          <w:sz w:val="20"/>
          <w:szCs w:val="20"/>
        </w:rPr>
        <w:t>, en los términos que la Sociedad lo notifique a los accionistas</w:t>
      </w:r>
      <w:r w:rsidR="00D911C8" w:rsidRPr="00A3503E">
        <w:rPr>
          <w:rFonts w:ascii="Tahoma" w:hAnsi="Tahoma" w:cs="Tahoma"/>
          <w:sz w:val="20"/>
          <w:szCs w:val="20"/>
        </w:rPr>
        <w:t>.</w:t>
      </w:r>
      <w:r w:rsidR="00E731CA">
        <w:rPr>
          <w:rFonts w:ascii="Tahoma" w:hAnsi="Tahoma" w:cs="Tahoma"/>
          <w:sz w:val="20"/>
          <w:szCs w:val="20"/>
        </w:rPr>
        <w:t xml:space="preserve"> </w:t>
      </w:r>
    </w:p>
    <w:p w14:paraId="1973876A" w14:textId="77777777" w:rsidR="00A35811" w:rsidRDefault="00A35811" w:rsidP="00A35811">
      <w:pPr>
        <w:jc w:val="center"/>
        <w:rPr>
          <w:rFonts w:ascii="Tahoma" w:hAnsi="Tahoma" w:cs="Tahoma"/>
          <w:sz w:val="20"/>
          <w:szCs w:val="20"/>
        </w:rPr>
      </w:pPr>
    </w:p>
    <w:p w14:paraId="001EA7A8" w14:textId="77777777" w:rsidR="0016677C" w:rsidRPr="00A3503E" w:rsidRDefault="0016677C" w:rsidP="00A35811">
      <w:pPr>
        <w:jc w:val="center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Atentamente,</w:t>
      </w:r>
    </w:p>
    <w:p w14:paraId="331289B6" w14:textId="77777777" w:rsidR="007506F1" w:rsidRPr="00A3503E" w:rsidRDefault="007506F1" w:rsidP="00A35811">
      <w:pPr>
        <w:jc w:val="center"/>
        <w:rPr>
          <w:rFonts w:ascii="Tahoma" w:hAnsi="Tahoma" w:cs="Tahoma"/>
          <w:sz w:val="20"/>
          <w:szCs w:val="20"/>
        </w:rPr>
      </w:pPr>
    </w:p>
    <w:p w14:paraId="6939CF00" w14:textId="77777777" w:rsidR="00CC6C82" w:rsidRPr="00A3503E" w:rsidRDefault="00CC6C82" w:rsidP="00A35811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A3503E">
        <w:rPr>
          <w:rFonts w:ascii="Tahoma" w:hAnsi="Tahoma" w:cs="Tahoma"/>
          <w:color w:val="000000"/>
          <w:sz w:val="20"/>
          <w:szCs w:val="20"/>
        </w:rPr>
        <w:t>[●]</w:t>
      </w:r>
    </w:p>
    <w:p w14:paraId="69C730F4" w14:textId="77777777" w:rsidR="00CC6C82" w:rsidRPr="00A3503E" w:rsidRDefault="00CC6C82" w:rsidP="00A35811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9ADE772" w14:textId="77777777" w:rsidR="00CC6C82" w:rsidRPr="00A3503E" w:rsidRDefault="00CC6C82" w:rsidP="00A35811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F94BBFB" w14:textId="77777777" w:rsidR="0016677C" w:rsidRPr="00A3503E" w:rsidRDefault="0016677C" w:rsidP="00A35811">
      <w:pPr>
        <w:jc w:val="center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_____________________________</w:t>
      </w:r>
    </w:p>
    <w:p w14:paraId="47FC7588" w14:textId="77777777" w:rsidR="0016677C" w:rsidRPr="00A3503E" w:rsidRDefault="00F71100" w:rsidP="00A35811">
      <w:pPr>
        <w:jc w:val="center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 xml:space="preserve">Por: </w:t>
      </w:r>
      <w:r w:rsidR="00CC6C82" w:rsidRPr="00A3503E">
        <w:rPr>
          <w:rFonts w:ascii="Tahoma" w:hAnsi="Tahoma" w:cs="Tahoma"/>
          <w:color w:val="000000"/>
          <w:sz w:val="20"/>
          <w:szCs w:val="20"/>
        </w:rPr>
        <w:t>[●]</w:t>
      </w:r>
    </w:p>
    <w:p w14:paraId="3B35CB15" w14:textId="77777777" w:rsidR="00A35811" w:rsidRDefault="0016677C" w:rsidP="00A35811">
      <w:pPr>
        <w:jc w:val="center"/>
        <w:rPr>
          <w:rFonts w:ascii="Tahoma" w:hAnsi="Tahoma" w:cs="Tahoma"/>
          <w:sz w:val="20"/>
          <w:szCs w:val="20"/>
        </w:rPr>
      </w:pPr>
      <w:r w:rsidRPr="00A3503E">
        <w:rPr>
          <w:rFonts w:ascii="Tahoma" w:hAnsi="Tahoma" w:cs="Tahoma"/>
          <w:sz w:val="20"/>
          <w:szCs w:val="20"/>
        </w:rPr>
        <w:t>Cargo: [</w:t>
      </w:r>
      <w:r w:rsidRPr="00A3503E">
        <w:rPr>
          <w:rFonts w:ascii="Tahoma" w:hAnsi="Tahoma" w:cs="Tahoma"/>
          <w:sz w:val="20"/>
          <w:szCs w:val="20"/>
          <w:highlight w:val="yellow"/>
        </w:rPr>
        <w:t>Por mi propio derecho/</w:t>
      </w:r>
      <w:r w:rsidR="008E4BFC" w:rsidRPr="00A3503E">
        <w:rPr>
          <w:rFonts w:ascii="Tahoma" w:hAnsi="Tahoma" w:cs="Tahoma"/>
          <w:sz w:val="20"/>
          <w:szCs w:val="20"/>
          <w:highlight w:val="yellow"/>
        </w:rPr>
        <w:t>Apoderado</w:t>
      </w:r>
      <w:r w:rsidRPr="00A3503E">
        <w:rPr>
          <w:rFonts w:ascii="Tahoma" w:hAnsi="Tahoma" w:cs="Tahoma"/>
          <w:sz w:val="20"/>
          <w:szCs w:val="20"/>
        </w:rPr>
        <w:t>]</w:t>
      </w:r>
    </w:p>
    <w:p w14:paraId="19BCB4F4" w14:textId="77777777" w:rsidR="00A35811" w:rsidRDefault="00A35811" w:rsidP="00A35811">
      <w:pPr>
        <w:jc w:val="center"/>
        <w:rPr>
          <w:rFonts w:ascii="Tahoma" w:hAnsi="Tahoma" w:cs="Tahoma"/>
          <w:i/>
          <w:sz w:val="20"/>
          <w:szCs w:val="20"/>
        </w:rPr>
      </w:pPr>
      <w:r w:rsidRPr="00A35811">
        <w:rPr>
          <w:rFonts w:ascii="Tahoma" w:hAnsi="Tahoma" w:cs="Tahoma"/>
          <w:i/>
          <w:sz w:val="20"/>
          <w:szCs w:val="20"/>
          <w:highlight w:val="yellow"/>
        </w:rPr>
        <w:t>[Nota: en caso de comparecer a través de un apoderado, favor de incluir copia de la escritura pública en la que se incluye el poder correspondiente]</w:t>
      </w:r>
    </w:p>
    <w:sectPr w:rsidR="00A35811" w:rsidSect="00033983">
      <w:headerReference w:type="default" r:id="rId12"/>
      <w:footerReference w:type="default" r:id="rId13"/>
      <w:footerReference w:type="first" r:id="rId14"/>
      <w:pgSz w:w="12240" w:h="15840" w:code="1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10BE" w14:textId="77777777" w:rsidR="00212A2E" w:rsidRDefault="00212A2E" w:rsidP="00B20F48">
      <w:r>
        <w:separator/>
      </w:r>
    </w:p>
  </w:endnote>
  <w:endnote w:type="continuationSeparator" w:id="0">
    <w:p w14:paraId="471EB1B8" w14:textId="77777777" w:rsidR="00212A2E" w:rsidRDefault="00212A2E" w:rsidP="00B2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1267152467"/>
      <w:docPartObj>
        <w:docPartGallery w:val="Page Numbers (Bottom of Page)"/>
        <w:docPartUnique/>
      </w:docPartObj>
    </w:sdtPr>
    <w:sdtContent>
      <w:p w14:paraId="00515D92" w14:textId="77777777" w:rsidR="00BA785F" w:rsidRPr="00BA785F" w:rsidRDefault="00BA785F">
        <w:pPr>
          <w:pStyle w:val="Piedepgina"/>
          <w:jc w:val="right"/>
          <w:rPr>
            <w:rFonts w:ascii="Tahoma" w:hAnsi="Tahoma" w:cs="Tahoma"/>
            <w:sz w:val="20"/>
            <w:szCs w:val="20"/>
          </w:rPr>
        </w:pPr>
        <w:r w:rsidRPr="00BA785F">
          <w:rPr>
            <w:rFonts w:ascii="Tahoma" w:hAnsi="Tahoma" w:cs="Tahoma"/>
            <w:sz w:val="20"/>
            <w:szCs w:val="20"/>
          </w:rPr>
          <w:fldChar w:fldCharType="begin"/>
        </w:r>
        <w:r w:rsidRPr="00BA785F">
          <w:rPr>
            <w:rFonts w:ascii="Tahoma" w:hAnsi="Tahoma" w:cs="Tahoma"/>
            <w:sz w:val="20"/>
            <w:szCs w:val="20"/>
          </w:rPr>
          <w:instrText>PAGE   \* MERGEFORMAT</w:instrText>
        </w:r>
        <w:r w:rsidRPr="00BA785F">
          <w:rPr>
            <w:rFonts w:ascii="Tahoma" w:hAnsi="Tahoma" w:cs="Tahoma"/>
            <w:sz w:val="20"/>
            <w:szCs w:val="20"/>
          </w:rPr>
          <w:fldChar w:fldCharType="separate"/>
        </w:r>
        <w:r w:rsidR="00A35811" w:rsidRPr="00A35811">
          <w:rPr>
            <w:rFonts w:ascii="Tahoma" w:hAnsi="Tahoma" w:cs="Tahoma"/>
            <w:noProof/>
            <w:sz w:val="20"/>
            <w:szCs w:val="20"/>
            <w:lang w:val="es-ES"/>
          </w:rPr>
          <w:t>1</w:t>
        </w:r>
        <w:r w:rsidRPr="00BA785F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C7F5738" w14:textId="77777777" w:rsidR="007506F1" w:rsidRDefault="007506F1" w:rsidP="00BA785F">
    <w:pPr>
      <w:pStyle w:val="Piedepgina"/>
      <w:rPr>
        <w:rFonts w:ascii="Tahoma" w:hAnsi="Tahoma"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94882964"/>
      <w:docPartObj>
        <w:docPartGallery w:val="Page Numbers (Bottom of Page)"/>
        <w:docPartUnique/>
      </w:docPartObj>
    </w:sdtPr>
    <w:sdtContent>
      <w:p w14:paraId="0358AB00" w14:textId="77777777" w:rsidR="00BB4F50" w:rsidRPr="00BB4F50" w:rsidRDefault="00BB4F50">
        <w:pPr>
          <w:pStyle w:val="Piedepgina"/>
          <w:jc w:val="right"/>
          <w:rPr>
            <w:rFonts w:ascii="Tahoma" w:hAnsi="Tahoma" w:cs="Tahoma"/>
            <w:sz w:val="20"/>
            <w:szCs w:val="20"/>
          </w:rPr>
        </w:pPr>
        <w:r w:rsidRPr="00BB4F50">
          <w:rPr>
            <w:rFonts w:ascii="Tahoma" w:hAnsi="Tahoma" w:cs="Tahoma"/>
            <w:sz w:val="20"/>
            <w:szCs w:val="20"/>
          </w:rPr>
          <w:fldChar w:fldCharType="begin"/>
        </w:r>
        <w:r w:rsidRPr="00BB4F50">
          <w:rPr>
            <w:rFonts w:ascii="Tahoma" w:hAnsi="Tahoma" w:cs="Tahoma"/>
            <w:sz w:val="20"/>
            <w:szCs w:val="20"/>
          </w:rPr>
          <w:instrText>PAGE   \* MERGEFORMAT</w:instrText>
        </w:r>
        <w:r w:rsidRPr="00BB4F50">
          <w:rPr>
            <w:rFonts w:ascii="Tahoma" w:hAnsi="Tahoma" w:cs="Tahoma"/>
            <w:sz w:val="20"/>
            <w:szCs w:val="20"/>
          </w:rPr>
          <w:fldChar w:fldCharType="separate"/>
        </w:r>
        <w:r w:rsidR="00033983" w:rsidRPr="00033983">
          <w:rPr>
            <w:rFonts w:ascii="Tahoma" w:hAnsi="Tahoma" w:cs="Tahoma"/>
            <w:noProof/>
            <w:sz w:val="20"/>
            <w:szCs w:val="20"/>
            <w:lang w:val="es-ES"/>
          </w:rPr>
          <w:t>1</w:t>
        </w:r>
        <w:r w:rsidRPr="00BB4F50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BA4E401" w14:textId="77777777" w:rsidR="002872CE" w:rsidRPr="00BB4F50" w:rsidRDefault="002872CE" w:rsidP="006E0DF7">
    <w:pPr>
      <w:pStyle w:val="Piedepgina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89C1" w14:textId="77777777" w:rsidR="00212A2E" w:rsidRDefault="00212A2E" w:rsidP="00B20F48">
      <w:r>
        <w:separator/>
      </w:r>
    </w:p>
  </w:footnote>
  <w:footnote w:type="continuationSeparator" w:id="0">
    <w:p w14:paraId="0C89855A" w14:textId="77777777" w:rsidR="00212A2E" w:rsidRDefault="00212A2E" w:rsidP="00B2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7CC" w14:textId="14D9AE0E" w:rsidR="00033983" w:rsidRPr="00E731CA" w:rsidRDefault="00E731CA" w:rsidP="00033983">
    <w:pPr>
      <w:pStyle w:val="Encabezado"/>
      <w:jc w:val="right"/>
      <w:rPr>
        <w:rFonts w:ascii="Tahoma" w:hAnsi="Tahoma" w:cs="Tahoma"/>
        <w:i/>
        <w:sz w:val="14"/>
        <w:szCs w:val="14"/>
        <w:lang w:val="pt-BR"/>
      </w:rPr>
    </w:pPr>
    <w:r w:rsidRPr="00E731CA">
      <w:rPr>
        <w:rFonts w:ascii="Tahoma" w:hAnsi="Tahoma" w:cs="Tahoma"/>
        <w:i/>
        <w:sz w:val="14"/>
        <w:szCs w:val="14"/>
        <w:lang w:val="pt-BR"/>
      </w:rPr>
      <w:t>Planigrupo Latam</w:t>
    </w:r>
    <w:r w:rsidR="00033983" w:rsidRPr="00E731CA">
      <w:rPr>
        <w:rFonts w:ascii="Tahoma" w:hAnsi="Tahoma" w:cs="Tahoma"/>
        <w:i/>
        <w:sz w:val="14"/>
        <w:szCs w:val="14"/>
        <w:lang w:val="pt-BR"/>
      </w:rPr>
      <w:t>, S.A.B. de C.V.</w:t>
    </w:r>
  </w:p>
  <w:p w14:paraId="283A4F58" w14:textId="087D7C3D" w:rsidR="00033983" w:rsidRPr="00AA3A8D" w:rsidRDefault="00033983" w:rsidP="00033983">
    <w:pPr>
      <w:pStyle w:val="Encabezado"/>
      <w:jc w:val="right"/>
      <w:rPr>
        <w:rFonts w:ascii="Tahoma" w:hAnsi="Tahoma" w:cs="Tahoma"/>
        <w:i/>
        <w:sz w:val="14"/>
        <w:szCs w:val="14"/>
      </w:rPr>
    </w:pPr>
    <w:r>
      <w:rPr>
        <w:rFonts w:ascii="Tahoma" w:hAnsi="Tahoma" w:cs="Tahoma"/>
        <w:i/>
        <w:sz w:val="14"/>
        <w:szCs w:val="14"/>
      </w:rPr>
      <w:t>Notificación de Derecho de Preferencia</w:t>
    </w:r>
  </w:p>
  <w:p w14:paraId="60029B77" w14:textId="77777777" w:rsidR="00BA785F" w:rsidRDefault="00BA78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8C9"/>
    <w:multiLevelType w:val="hybridMultilevel"/>
    <w:tmpl w:val="97C00968"/>
    <w:lvl w:ilvl="0" w:tplc="080A000F">
      <w:start w:val="1"/>
      <w:numFmt w:val="decimal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C5EAD"/>
    <w:multiLevelType w:val="hybridMultilevel"/>
    <w:tmpl w:val="9C6EC4A8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1B66E7"/>
    <w:multiLevelType w:val="hybridMultilevel"/>
    <w:tmpl w:val="BD96B71A"/>
    <w:lvl w:ilvl="0" w:tplc="7EBC89A4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1B1F17"/>
    <w:multiLevelType w:val="hybridMultilevel"/>
    <w:tmpl w:val="E1D06FF0"/>
    <w:lvl w:ilvl="0" w:tplc="76143FB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98864">
    <w:abstractNumId w:val="2"/>
  </w:num>
  <w:num w:numId="2" w16cid:durableId="37631192">
    <w:abstractNumId w:val="1"/>
  </w:num>
  <w:num w:numId="3" w16cid:durableId="1217470318">
    <w:abstractNumId w:val="0"/>
  </w:num>
  <w:num w:numId="4" w16cid:durableId="1238708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05"/>
    <w:rsid w:val="000012C2"/>
    <w:rsid w:val="00033983"/>
    <w:rsid w:val="000F15F5"/>
    <w:rsid w:val="00121659"/>
    <w:rsid w:val="001312C9"/>
    <w:rsid w:val="0016677C"/>
    <w:rsid w:val="00212A2E"/>
    <w:rsid w:val="002872CE"/>
    <w:rsid w:val="002B49DE"/>
    <w:rsid w:val="002F33B5"/>
    <w:rsid w:val="002F6B04"/>
    <w:rsid w:val="00334806"/>
    <w:rsid w:val="00362063"/>
    <w:rsid w:val="003F66E1"/>
    <w:rsid w:val="00424454"/>
    <w:rsid w:val="004703DC"/>
    <w:rsid w:val="004F259A"/>
    <w:rsid w:val="005A4730"/>
    <w:rsid w:val="005C26E4"/>
    <w:rsid w:val="005E3E4B"/>
    <w:rsid w:val="006235A2"/>
    <w:rsid w:val="00647DE3"/>
    <w:rsid w:val="006B53AA"/>
    <w:rsid w:val="006B57E4"/>
    <w:rsid w:val="006E0DF7"/>
    <w:rsid w:val="007506F1"/>
    <w:rsid w:val="007974CF"/>
    <w:rsid w:val="007C365A"/>
    <w:rsid w:val="00803D53"/>
    <w:rsid w:val="00835653"/>
    <w:rsid w:val="008529B1"/>
    <w:rsid w:val="008531CE"/>
    <w:rsid w:val="008B6FA0"/>
    <w:rsid w:val="008E4BFC"/>
    <w:rsid w:val="009277BC"/>
    <w:rsid w:val="009807E1"/>
    <w:rsid w:val="009C4E7C"/>
    <w:rsid w:val="009F5ACF"/>
    <w:rsid w:val="00A3503E"/>
    <w:rsid w:val="00A35811"/>
    <w:rsid w:val="00A95344"/>
    <w:rsid w:val="00AA0160"/>
    <w:rsid w:val="00AE57DB"/>
    <w:rsid w:val="00B20F48"/>
    <w:rsid w:val="00B369AE"/>
    <w:rsid w:val="00B40C48"/>
    <w:rsid w:val="00B55817"/>
    <w:rsid w:val="00B73AE1"/>
    <w:rsid w:val="00B74F0B"/>
    <w:rsid w:val="00B76102"/>
    <w:rsid w:val="00BA785F"/>
    <w:rsid w:val="00BB28A2"/>
    <w:rsid w:val="00BB479A"/>
    <w:rsid w:val="00BB4F50"/>
    <w:rsid w:val="00C038A1"/>
    <w:rsid w:val="00C819CD"/>
    <w:rsid w:val="00CC6C82"/>
    <w:rsid w:val="00D235CB"/>
    <w:rsid w:val="00D533D5"/>
    <w:rsid w:val="00D911C8"/>
    <w:rsid w:val="00DC4363"/>
    <w:rsid w:val="00E3489A"/>
    <w:rsid w:val="00E731CA"/>
    <w:rsid w:val="00EA16FF"/>
    <w:rsid w:val="00EC3105"/>
    <w:rsid w:val="00F40B5F"/>
    <w:rsid w:val="00F654D9"/>
    <w:rsid w:val="00F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F683"/>
  <w15:chartTrackingRefBased/>
  <w15:docId w15:val="{ACA27633-8567-4A70-BE7F-684CF9A5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33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3D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0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F48"/>
  </w:style>
  <w:style w:type="paragraph" w:styleId="Piedepgina">
    <w:name w:val="footer"/>
    <w:basedOn w:val="Normal"/>
    <w:link w:val="PiedepginaCar"/>
    <w:uiPriority w:val="99"/>
    <w:unhideWhenUsed/>
    <w:rsid w:val="00B20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48"/>
  </w:style>
  <w:style w:type="paragraph" w:styleId="Prrafodelista">
    <w:name w:val="List Paragraph"/>
    <w:basedOn w:val="Normal"/>
    <w:uiPriority w:val="34"/>
    <w:qFormat/>
    <w:rsid w:val="001667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5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mirezg@gminfra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fchavezg@gminfra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orenoo@gminfra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villarrealm@gminfra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gomeza@gminfra.m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Rios Gallegos</dc:creator>
  <cp:lastModifiedBy>Claudia Rios Gallegos</cp:lastModifiedBy>
  <cp:revision>3</cp:revision>
  <cp:lastPrinted>1900-01-01T06:00:00Z</cp:lastPrinted>
  <dcterms:created xsi:type="dcterms:W3CDTF">2025-02-13T00:17:00Z</dcterms:created>
  <dcterms:modified xsi:type="dcterms:W3CDTF">2025-02-13T00:20:00Z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99034-29be-4591-974b-8dcaaffef522_Enabled">
    <vt:lpwstr>true</vt:lpwstr>
  </property>
  <property fmtid="{D5CDD505-2E9C-101B-9397-08002B2CF9AE}" pid="3" name="MSIP_Label_39f99034-29be-4591-974b-8dcaaffef522_SetDate">
    <vt:lpwstr>2024-06-24T18:11:37Z</vt:lpwstr>
  </property>
  <property fmtid="{D5CDD505-2E9C-101B-9397-08002B2CF9AE}" pid="4" name="MSIP_Label_39f99034-29be-4591-974b-8dcaaffef522_Method">
    <vt:lpwstr>Standard</vt:lpwstr>
  </property>
  <property fmtid="{D5CDD505-2E9C-101B-9397-08002B2CF9AE}" pid="5" name="MSIP_Label_39f99034-29be-4591-974b-8dcaaffef522_Name">
    <vt:lpwstr>defa4170-0d19-0005-0004-bc88714345d2</vt:lpwstr>
  </property>
  <property fmtid="{D5CDD505-2E9C-101B-9397-08002B2CF9AE}" pid="6" name="MSIP_Label_39f99034-29be-4591-974b-8dcaaffef522_SiteId">
    <vt:lpwstr>e21989b8-e1ca-477b-be26-916fd2673cbf</vt:lpwstr>
  </property>
  <property fmtid="{D5CDD505-2E9C-101B-9397-08002B2CF9AE}" pid="7" name="MSIP_Label_39f99034-29be-4591-974b-8dcaaffef522_ActionId">
    <vt:lpwstr>d4ed2299-ee5c-4671-9256-778e5395c180</vt:lpwstr>
  </property>
  <property fmtid="{D5CDD505-2E9C-101B-9397-08002B2CF9AE}" pid="8" name="MSIP_Label_39f99034-29be-4591-974b-8dcaaffef522_ContentBits">
    <vt:lpwstr>0</vt:lpwstr>
  </property>
</Properties>
</file>